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DC6326"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211AA54F"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DC6326" w:rsidRPr="00DC6326">
        <w:rPr>
          <w:i/>
          <w:color w:val="0000FF"/>
          <w:spacing w:val="-2"/>
        </w:rPr>
        <w:t>Procurement of solar panels, delivery, installation and commissioning of a complete, Solar PV power structure (coupled with diesel power generation) for Xeraale borehole project in Xeraale district, Xeraale town, Galgaduud region Galmudug state of Somalia</w:t>
      </w:r>
    </w:p>
    <w:p w14:paraId="27AEDC7E" w14:textId="2BFFD150" w:rsidR="005902CD" w:rsidRPr="00A24C5C" w:rsidRDefault="00A421E6" w:rsidP="00A24C5C">
      <w:pPr>
        <w:rPr>
          <w:spacing w:val="-2"/>
        </w:rPr>
      </w:pPr>
      <w:r w:rsidRPr="00A24C5C">
        <w:rPr>
          <w:spacing w:val="-2"/>
        </w:rPr>
        <w:t xml:space="preserve">Ref. No.: </w:t>
      </w:r>
      <w:r w:rsidR="008D7032">
        <w:rPr>
          <w:spacing w:val="-2"/>
        </w:rPr>
        <w:t>SOM/18/03</w:t>
      </w:r>
      <w:r w:rsidR="00F136D0" w:rsidRPr="00A24C5C">
        <w:rPr>
          <w:spacing w:val="-2"/>
        </w:rPr>
        <w:t>/00</w:t>
      </w:r>
      <w:r w:rsidR="00DC6326">
        <w:rPr>
          <w:spacing w:val="-2"/>
        </w:rPr>
        <w:t>7</w:t>
      </w:r>
    </w:p>
    <w:p w14:paraId="7A4DA3CA" w14:textId="77777777" w:rsidR="00962B23" w:rsidRPr="00A24C5C" w:rsidRDefault="00962B23" w:rsidP="00A24C5C">
      <w:pPr>
        <w:rPr>
          <w:spacing w:val="-2"/>
        </w:rPr>
      </w:pPr>
      <w:bookmarkStart w:id="0" w:name="_GoBack"/>
      <w:bookmarkEnd w:id="0"/>
    </w:p>
    <w:p w14:paraId="0F916A4E" w14:textId="384573E1" w:rsidR="005902CD" w:rsidRPr="00A24C5C" w:rsidRDefault="0083783A" w:rsidP="00A24C5C">
      <w:pPr>
        <w:rPr>
          <w:spacing w:val="-2"/>
        </w:rPr>
      </w:pPr>
      <w:r>
        <w:rPr>
          <w:spacing w:val="-2"/>
        </w:rPr>
        <w:t>Date</w:t>
      </w:r>
      <w:r>
        <w:rPr>
          <w:spacing w:val="-2"/>
        </w:rPr>
        <w:tab/>
        <w:t xml:space="preserve">:  </w:t>
      </w:r>
      <w:r w:rsidR="008D7032">
        <w:rPr>
          <w:spacing w:val="-2"/>
        </w:rPr>
        <w:t>12-03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B43BD5" w14:textId="6ADCF318" w:rsidR="009F711F" w:rsidRPr="00CD2EBA" w:rsidRDefault="00DC6326" w:rsidP="00DC6326">
      <w:pPr>
        <w:rPr>
          <w:b/>
          <w:i/>
          <w:color w:val="002060"/>
          <w:spacing w:val="-2"/>
        </w:rPr>
      </w:pPr>
      <w:r w:rsidRPr="00DC6326">
        <w:rPr>
          <w:i/>
          <w:color w:val="0000FF"/>
          <w:spacing w:val="-2"/>
        </w:rPr>
        <w:t>Procurement of solar panels, delivery, installation and commissioning of a complete, Solar PV power structure (coupled with diesel power generation) for Xeraale borehole project in Xeraale district, Xeraale town, Galgaduud region Galmudug state of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7243A040" w14:textId="77777777" w:rsidR="00DC6326" w:rsidRPr="00A24C5C" w:rsidRDefault="00DC6326" w:rsidP="00DC6326">
      <w:pPr>
        <w:tabs>
          <w:tab w:val="left" w:pos="567"/>
        </w:tabs>
        <w:suppressAutoHyphens/>
        <w:spacing w:after="80"/>
        <w:ind w:left="720"/>
        <w:textAlignment w:val="baseline"/>
      </w:pPr>
    </w:p>
    <w:p w14:paraId="2767BD00" w14:textId="77777777" w:rsidR="00DC6326" w:rsidRPr="00A24C5C" w:rsidRDefault="00DC6326" w:rsidP="00DC6326">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DC6326" w:rsidRPr="00A24C5C" w14:paraId="1C2229D8"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51CA655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5C9DB6B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297809C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D1B51E8"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DC6326" w:rsidRPr="00A24C5C" w14:paraId="518503B6"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65AC00FC"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12AEA2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5093883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6DE197F"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DC6326" w:rsidRPr="00A24C5C" w14:paraId="54EF0A6F"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hideMark/>
          </w:tcPr>
          <w:p w14:paraId="76EC508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2D95A9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4774A107"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60526B66"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DC6326" w:rsidRPr="00A24C5C" w14:paraId="1E7DF72E"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tcPr>
          <w:p w14:paraId="7170311E"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78194235"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C0DE4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3BFAC5A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lastRenderedPageBreak/>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6180732E" w14:textId="77777777" w:rsidR="00DC6326" w:rsidRDefault="00DC6326" w:rsidP="00A24C5C">
      <w:pPr>
        <w:jc w:val="center"/>
        <w:rPr>
          <w:b/>
        </w:rPr>
      </w:pPr>
    </w:p>
    <w:p w14:paraId="17CF92E4" w14:textId="77777777" w:rsidR="00DC6326" w:rsidRDefault="00DC6326" w:rsidP="00A24C5C">
      <w:pPr>
        <w:jc w:val="center"/>
        <w:rPr>
          <w:b/>
        </w:rPr>
      </w:pPr>
    </w:p>
    <w:p w14:paraId="1142ECE1" w14:textId="77777777" w:rsidR="00DC6326" w:rsidRDefault="00DC6326" w:rsidP="00A24C5C">
      <w:pPr>
        <w:jc w:val="center"/>
        <w:rPr>
          <w:b/>
        </w:rPr>
      </w:pPr>
    </w:p>
    <w:p w14:paraId="4F86221E" w14:textId="77777777" w:rsidR="00DC6326" w:rsidRDefault="00DC6326" w:rsidP="00A24C5C">
      <w:pPr>
        <w:jc w:val="center"/>
        <w:rPr>
          <w:b/>
        </w:rPr>
      </w:pPr>
    </w:p>
    <w:p w14:paraId="67D7C372" w14:textId="77777777" w:rsidR="00DC6326" w:rsidRDefault="00DC6326" w:rsidP="00A24C5C">
      <w:pPr>
        <w:jc w:val="center"/>
        <w:rPr>
          <w:b/>
        </w:rPr>
      </w:pPr>
    </w:p>
    <w:p w14:paraId="5B71D17E" w14:textId="77777777" w:rsidR="00DC6326" w:rsidRDefault="00DC6326" w:rsidP="00A24C5C">
      <w:pPr>
        <w:jc w:val="center"/>
        <w:rPr>
          <w:b/>
        </w:rPr>
      </w:pPr>
    </w:p>
    <w:p w14:paraId="387EA9E3" w14:textId="77777777" w:rsidR="00DC6326" w:rsidRDefault="00DC6326" w:rsidP="00A24C5C">
      <w:pPr>
        <w:jc w:val="center"/>
        <w:rPr>
          <w:b/>
        </w:rPr>
      </w:pPr>
    </w:p>
    <w:p w14:paraId="6E483E82" w14:textId="77777777" w:rsidR="00DC6326" w:rsidRDefault="00DC6326" w:rsidP="00A24C5C">
      <w:pPr>
        <w:jc w:val="center"/>
        <w:rPr>
          <w:b/>
        </w:rPr>
      </w:pPr>
    </w:p>
    <w:p w14:paraId="6492E148" w14:textId="77777777" w:rsidR="00DC6326" w:rsidRDefault="00DC6326" w:rsidP="00A24C5C">
      <w:pPr>
        <w:jc w:val="center"/>
        <w:rPr>
          <w:b/>
        </w:rPr>
      </w:pPr>
    </w:p>
    <w:p w14:paraId="71D98243" w14:textId="77777777" w:rsidR="00DC6326" w:rsidRDefault="00DC6326" w:rsidP="00A24C5C">
      <w:pPr>
        <w:jc w:val="center"/>
        <w:rPr>
          <w:b/>
        </w:rPr>
      </w:pPr>
    </w:p>
    <w:p w14:paraId="40672EE3" w14:textId="77777777" w:rsidR="00DC6326" w:rsidRDefault="00DC6326" w:rsidP="00A24C5C">
      <w:pPr>
        <w:jc w:val="center"/>
        <w:rPr>
          <w:b/>
        </w:rPr>
      </w:pPr>
    </w:p>
    <w:p w14:paraId="517E9FB1" w14:textId="77777777" w:rsidR="00DC6326" w:rsidRDefault="00DC6326" w:rsidP="00A24C5C">
      <w:pPr>
        <w:jc w:val="center"/>
        <w:rPr>
          <w:b/>
        </w:rPr>
      </w:pPr>
    </w:p>
    <w:p w14:paraId="01C1325B" w14:textId="77777777" w:rsidR="00DC6326" w:rsidRDefault="00DC6326" w:rsidP="00A24C5C">
      <w:pPr>
        <w:jc w:val="center"/>
        <w:rPr>
          <w:b/>
        </w:rPr>
      </w:pPr>
    </w:p>
    <w:p w14:paraId="6BB5737F" w14:textId="77777777" w:rsidR="00DC6326" w:rsidRDefault="00DC6326" w:rsidP="00A24C5C">
      <w:pPr>
        <w:jc w:val="center"/>
        <w:rPr>
          <w:b/>
        </w:rPr>
      </w:pPr>
    </w:p>
    <w:p w14:paraId="2B1CAFF3" w14:textId="77777777" w:rsidR="00DC6326" w:rsidRDefault="00DC6326" w:rsidP="00A24C5C">
      <w:pPr>
        <w:jc w:val="center"/>
        <w:rPr>
          <w:b/>
        </w:rPr>
      </w:pPr>
    </w:p>
    <w:p w14:paraId="0696BB8C" w14:textId="77777777" w:rsidR="00DC6326" w:rsidRDefault="00DC6326" w:rsidP="00A24C5C">
      <w:pPr>
        <w:jc w:val="center"/>
        <w:rPr>
          <w:b/>
        </w:rPr>
      </w:pPr>
    </w:p>
    <w:p w14:paraId="5FA59B29" w14:textId="77777777" w:rsidR="00DC6326" w:rsidRDefault="00DC6326" w:rsidP="00A24C5C">
      <w:pPr>
        <w:jc w:val="center"/>
        <w:rPr>
          <w:b/>
        </w:rPr>
      </w:pPr>
    </w:p>
    <w:p w14:paraId="6F3E61A9" w14:textId="77777777" w:rsidR="00DC6326" w:rsidRDefault="00DC6326" w:rsidP="00A24C5C">
      <w:pPr>
        <w:jc w:val="center"/>
        <w:rPr>
          <w:b/>
        </w:rPr>
      </w:pPr>
    </w:p>
    <w:p w14:paraId="47359491" w14:textId="77777777" w:rsidR="00DC6326" w:rsidRDefault="00DC6326" w:rsidP="00A24C5C">
      <w:pPr>
        <w:jc w:val="center"/>
        <w:rPr>
          <w:b/>
        </w:rPr>
      </w:pPr>
    </w:p>
    <w:p w14:paraId="6D916866" w14:textId="77777777" w:rsidR="00DC6326" w:rsidRDefault="00DC6326" w:rsidP="00A24C5C">
      <w:pPr>
        <w:jc w:val="center"/>
        <w:rPr>
          <w:b/>
        </w:rPr>
      </w:pPr>
    </w:p>
    <w:p w14:paraId="7E5EF634" w14:textId="77777777" w:rsidR="00DC6326" w:rsidRDefault="00DC6326" w:rsidP="00A24C5C">
      <w:pPr>
        <w:jc w:val="center"/>
        <w:rPr>
          <w:b/>
        </w:rPr>
      </w:pPr>
    </w:p>
    <w:p w14:paraId="1C18317D" w14:textId="77777777" w:rsidR="00DC6326" w:rsidRDefault="00DC6326" w:rsidP="00A24C5C">
      <w:pPr>
        <w:jc w:val="center"/>
        <w:rPr>
          <w:b/>
        </w:rPr>
      </w:pPr>
    </w:p>
    <w:p w14:paraId="672F40FB" w14:textId="77777777" w:rsidR="00DC6326" w:rsidRDefault="00DC6326" w:rsidP="00A24C5C">
      <w:pPr>
        <w:jc w:val="center"/>
        <w:rPr>
          <w:b/>
        </w:rPr>
      </w:pPr>
    </w:p>
    <w:p w14:paraId="1ADCBC58" w14:textId="77777777" w:rsidR="00DC6326" w:rsidRDefault="00DC6326" w:rsidP="00A24C5C">
      <w:pPr>
        <w:jc w:val="center"/>
        <w:rPr>
          <w:b/>
        </w:rPr>
      </w:pPr>
    </w:p>
    <w:p w14:paraId="213249AC" w14:textId="77777777" w:rsidR="00DC6326" w:rsidRDefault="00DC6326" w:rsidP="00A24C5C">
      <w:pPr>
        <w:jc w:val="center"/>
        <w:rPr>
          <w:b/>
        </w:rPr>
      </w:pPr>
    </w:p>
    <w:p w14:paraId="21410CD3" w14:textId="77777777" w:rsidR="00DC6326" w:rsidRDefault="00DC6326" w:rsidP="00A24C5C">
      <w:pPr>
        <w:jc w:val="center"/>
        <w:rPr>
          <w:b/>
        </w:rPr>
      </w:pPr>
    </w:p>
    <w:p w14:paraId="5795BD1D" w14:textId="77777777" w:rsidR="00DC6326" w:rsidRDefault="00DC6326" w:rsidP="00A24C5C">
      <w:pPr>
        <w:jc w:val="center"/>
        <w:rPr>
          <w:b/>
        </w:rPr>
      </w:pPr>
    </w:p>
    <w:p w14:paraId="2684DFCC" w14:textId="77777777" w:rsidR="00DC6326" w:rsidRDefault="00DC6326" w:rsidP="00A24C5C">
      <w:pPr>
        <w:jc w:val="center"/>
        <w:rPr>
          <w:b/>
        </w:rPr>
      </w:pPr>
    </w:p>
    <w:p w14:paraId="528A5BEA" w14:textId="77777777" w:rsidR="00DC6326" w:rsidRDefault="00DC6326" w:rsidP="00A24C5C">
      <w:pPr>
        <w:jc w:val="center"/>
        <w:rPr>
          <w:b/>
        </w:rPr>
      </w:pPr>
    </w:p>
    <w:p w14:paraId="20F512CD" w14:textId="77777777" w:rsidR="00DC6326" w:rsidRDefault="00DC6326" w:rsidP="00A24C5C">
      <w:pPr>
        <w:jc w:val="center"/>
        <w:rPr>
          <w:b/>
        </w:rPr>
      </w:pPr>
    </w:p>
    <w:p w14:paraId="74DF006F" w14:textId="77777777" w:rsidR="00DC6326" w:rsidRDefault="00DC6326" w:rsidP="00A24C5C">
      <w:pPr>
        <w:jc w:val="center"/>
        <w:rPr>
          <w:b/>
        </w:rPr>
      </w:pPr>
    </w:p>
    <w:p w14:paraId="2A20AAD8" w14:textId="77777777" w:rsidR="00DC6326" w:rsidRDefault="00DC6326" w:rsidP="00A24C5C">
      <w:pPr>
        <w:jc w:val="center"/>
        <w:rPr>
          <w:b/>
        </w:rPr>
      </w:pPr>
    </w:p>
    <w:p w14:paraId="4246F882" w14:textId="77777777" w:rsidR="00DC6326" w:rsidRDefault="00DC6326" w:rsidP="00A24C5C">
      <w:pPr>
        <w:jc w:val="center"/>
        <w:rPr>
          <w:b/>
        </w:rPr>
      </w:pPr>
    </w:p>
    <w:p w14:paraId="37B87D7A" w14:textId="77777777" w:rsidR="00DC6326" w:rsidRDefault="00DC6326" w:rsidP="00A24C5C">
      <w:pPr>
        <w:jc w:val="center"/>
        <w:rPr>
          <w:b/>
        </w:rPr>
      </w:pPr>
    </w:p>
    <w:p w14:paraId="3BB27A87" w14:textId="77777777" w:rsidR="00DC6326" w:rsidRDefault="00DC6326" w:rsidP="00A24C5C">
      <w:pPr>
        <w:jc w:val="center"/>
        <w:rPr>
          <w:b/>
        </w:rPr>
      </w:pPr>
    </w:p>
    <w:p w14:paraId="49135247" w14:textId="77777777" w:rsidR="00DC6326" w:rsidRDefault="00DC6326" w:rsidP="00A24C5C">
      <w:pPr>
        <w:jc w:val="center"/>
        <w:rPr>
          <w:b/>
        </w:rPr>
      </w:pPr>
    </w:p>
    <w:p w14:paraId="05484158" w14:textId="77777777" w:rsidR="00DC6326" w:rsidRDefault="00DC6326" w:rsidP="00A24C5C">
      <w:pPr>
        <w:jc w:val="center"/>
        <w:rPr>
          <w:b/>
        </w:rPr>
      </w:pPr>
    </w:p>
    <w:p w14:paraId="3FFF6E63" w14:textId="77777777" w:rsidR="00DC6326" w:rsidRDefault="00DC6326" w:rsidP="00A24C5C">
      <w:pPr>
        <w:jc w:val="center"/>
        <w:rPr>
          <w:b/>
        </w:rPr>
      </w:pPr>
    </w:p>
    <w:p w14:paraId="3081CD22" w14:textId="77777777" w:rsidR="001413A6" w:rsidRPr="00A24C5C" w:rsidRDefault="00AC4594" w:rsidP="00A24C5C">
      <w:pPr>
        <w:jc w:val="center"/>
        <w:rPr>
          <w:b/>
        </w:rPr>
      </w:pPr>
      <w:r w:rsidRPr="00A24C5C">
        <w:rPr>
          <w:b/>
        </w:rPr>
        <w:lastRenderedPageBreak/>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40848D90" w:rsidR="00BE0E57" w:rsidRPr="008D7032" w:rsidRDefault="00DC6326" w:rsidP="00BE0E57">
      <w:pPr>
        <w:rPr>
          <w:b/>
          <w:i/>
          <w:color w:val="0000FF"/>
          <w:spacing w:val="-2"/>
        </w:rPr>
      </w:pPr>
      <w:r w:rsidRPr="00DC6326">
        <w:rPr>
          <w:i/>
          <w:color w:val="0000FF"/>
          <w:spacing w:val="-2"/>
        </w:rPr>
        <w:t>Procurement of solar panels, delivery, installation and commissioning of a complete, Solar PV power structure (coupled with diesel power generation) for Xeraale borehole project in Xeraale district, Xeraale town, Galgaduud region Galmudug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263F793D"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D7032">
        <w:rPr>
          <w:i/>
          <w:color w:val="0000FF"/>
        </w:rPr>
        <w:t>20.03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lastRenderedPageBreak/>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58BE0E11"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8D7032" w:rsidRPr="008D7032">
        <w:rPr>
          <w:b/>
          <w:i/>
          <w:color w:val="0000FF"/>
        </w:rPr>
        <w:t>30</w:t>
      </w:r>
      <w:r w:rsidR="008550D4" w:rsidRPr="008D7032">
        <w:rPr>
          <w:b/>
          <w:i/>
          <w:color w:val="0000FF"/>
        </w:rPr>
        <w:t>.03</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282D9BFE"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8D7032">
        <w:rPr>
          <w:b/>
          <w:i/>
          <w:color w:val="0000FF"/>
          <w:spacing w:val="-3"/>
          <w:kern w:val="1"/>
        </w:rPr>
        <w:t>3.04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lastRenderedPageBreak/>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t>:</w:t>
      </w:r>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lastRenderedPageBreak/>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78293F6" w14:textId="77777777" w:rsidR="00DC6326" w:rsidRPr="00DC6326" w:rsidRDefault="0035512E" w:rsidP="00DC63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DC6326" w:rsidRPr="00DC6326">
        <w:rPr>
          <w:b/>
          <w:i/>
          <w:color w:val="0000FF"/>
          <w:spacing w:val="-2"/>
        </w:rPr>
        <w:t>Galgaduud region, Galmudug state</w:t>
      </w:r>
    </w:p>
    <w:p w14:paraId="17733656" w14:textId="77777777" w:rsidR="00DC6326" w:rsidRPr="00DC6326" w:rsidRDefault="00DC6326" w:rsidP="00DC6326">
      <w:pPr>
        <w:ind w:left="540" w:firstLine="180"/>
        <w:rPr>
          <w:b/>
          <w:i/>
          <w:color w:val="0000FF"/>
          <w:spacing w:val="-2"/>
        </w:rPr>
      </w:pPr>
      <w:r w:rsidRPr="00DC6326">
        <w:rPr>
          <w:b/>
          <w:i/>
          <w:color w:val="0000FF"/>
          <w:spacing w:val="-2"/>
        </w:rPr>
        <w:t>GPS: Lat: 6.02241129 Long: 45.9644132</w:t>
      </w:r>
    </w:p>
    <w:p w14:paraId="5336B350" w14:textId="24338503" w:rsidR="0035512E" w:rsidRPr="00A24C5C" w:rsidRDefault="0035512E" w:rsidP="00DC6326">
      <w:pPr>
        <w:ind w:left="54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36455BE5" w14:textId="20FFA4CE" w:rsidR="00BE0E57" w:rsidRPr="00DC6326" w:rsidRDefault="007F7352" w:rsidP="00DC6326">
      <w:pPr>
        <w:rPr>
          <w:i/>
          <w:color w:val="0000FF"/>
        </w:rPr>
      </w:pPr>
      <w:r w:rsidRPr="00A24C5C">
        <w:t xml:space="preserve">Having examined the General Instruction for the </w:t>
      </w:r>
      <w:r w:rsidR="00DC6326" w:rsidRPr="00DC6326">
        <w:rPr>
          <w:i/>
          <w:color w:val="0000FF"/>
          <w:spacing w:val="-2"/>
        </w:rPr>
        <w:t>Procurement of solar panels,</w:t>
      </w:r>
      <w:r w:rsidR="00DC6326" w:rsidRPr="00DC6326">
        <w:rPr>
          <w:color w:val="0000FF"/>
          <w:spacing w:val="-2"/>
        </w:rPr>
        <w:t xml:space="preserve"> </w:t>
      </w:r>
      <w:r w:rsidR="00DC6326" w:rsidRPr="00DC6326">
        <w:rPr>
          <w:rStyle w:val="DefaultParagraphFont1"/>
          <w:i/>
          <w:color w:val="0000FF"/>
        </w:rPr>
        <w:t xml:space="preserve">delivery, installation and commissioning of a complete, Solar PV power structure (coupled with diesel power generation) for </w:t>
      </w:r>
      <w:r w:rsidR="00DC6326" w:rsidRPr="00DC6326">
        <w:rPr>
          <w:i/>
          <w:color w:val="0000FF"/>
        </w:rPr>
        <w:t>Xeraale</w:t>
      </w:r>
      <w:r w:rsidR="00DC6326" w:rsidRPr="00DC6326">
        <w:rPr>
          <w:rStyle w:val="DefaultParagraphFont1"/>
          <w:i/>
          <w:color w:val="0000FF"/>
        </w:rPr>
        <w:t xml:space="preserve"> borehole project</w:t>
      </w:r>
      <w:r w:rsidR="00DC6326" w:rsidRPr="00DC6326">
        <w:rPr>
          <w:i/>
          <w:color w:val="0000FF"/>
        </w:rPr>
        <w:t xml:space="preserve"> in Xeraale</w:t>
      </w:r>
      <w:r w:rsidR="00DC6326">
        <w:rPr>
          <w:i/>
          <w:color w:val="0000FF"/>
        </w:rPr>
        <w:t xml:space="preserve"> D</w:t>
      </w:r>
      <w:r w:rsidR="00DC6326" w:rsidRPr="00DC6326">
        <w:rPr>
          <w:i/>
          <w:color w:val="0000FF"/>
        </w:rPr>
        <w:t>istrict, Xeraale town, Galgaduud region Galmudug state of Somalia</w:t>
      </w:r>
    </w:p>
    <w:p w14:paraId="763AB507" w14:textId="5C9D8CB6" w:rsidR="002072E1" w:rsidRPr="008550D4" w:rsidRDefault="007F7352" w:rsidP="00BE0E57">
      <w:pPr>
        <w:ind w:left="720" w:hanging="720"/>
        <w:rPr>
          <w:b/>
          <w:i/>
          <w:spacing w:val="-2"/>
        </w:rPr>
      </w:pP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4454BED8" w14:textId="317437E9" w:rsidR="00BE0E57" w:rsidRPr="00BE0E57" w:rsidRDefault="00DC6326" w:rsidP="00DC6326">
      <w:pPr>
        <w:rPr>
          <w:i/>
          <w:color w:val="002060"/>
        </w:rPr>
      </w:pPr>
      <w:r w:rsidRPr="00DC6326">
        <w:rPr>
          <w:i/>
          <w:color w:val="0000FF"/>
          <w:spacing w:val="-2"/>
        </w:rPr>
        <w:t>Procurement of solar panels,</w:t>
      </w:r>
      <w:r w:rsidRPr="00DC6326">
        <w:rPr>
          <w:color w:val="0000FF"/>
          <w:spacing w:val="-2"/>
        </w:rPr>
        <w:t xml:space="preserve"> </w:t>
      </w:r>
      <w:r w:rsidRPr="00DC6326">
        <w:rPr>
          <w:rStyle w:val="DefaultParagraphFont1"/>
          <w:i/>
          <w:color w:val="0000FF"/>
        </w:rPr>
        <w:t>delivery, installation a</w:t>
      </w:r>
      <w:r>
        <w:rPr>
          <w:rStyle w:val="DefaultParagraphFont1"/>
          <w:i/>
          <w:color w:val="0000FF"/>
        </w:rPr>
        <w:t xml:space="preserve">nd commissioning of a complete, </w:t>
      </w:r>
      <w:r w:rsidRPr="00DC6326">
        <w:rPr>
          <w:rStyle w:val="DefaultParagraphFont1"/>
          <w:i/>
          <w:color w:val="0000FF"/>
        </w:rPr>
        <w:t xml:space="preserve">Solar PV power structure (coupled with diesel power generation) for </w:t>
      </w:r>
      <w:r w:rsidRPr="00DC6326">
        <w:rPr>
          <w:i/>
          <w:color w:val="0000FF"/>
        </w:rPr>
        <w:t>Xeraale</w:t>
      </w:r>
      <w:r w:rsidRPr="00DC6326">
        <w:rPr>
          <w:rStyle w:val="DefaultParagraphFont1"/>
          <w:i/>
          <w:color w:val="0000FF"/>
        </w:rPr>
        <w:t xml:space="preserve"> borehole project</w:t>
      </w:r>
      <w:r w:rsidRPr="00DC6326">
        <w:rPr>
          <w:i/>
          <w:color w:val="0000FF"/>
        </w:rPr>
        <w:t xml:space="preserve"> in Xeraale</w:t>
      </w:r>
      <w:r>
        <w:rPr>
          <w:i/>
          <w:color w:val="0000FF"/>
        </w:rPr>
        <w:t xml:space="preserve"> D</w:t>
      </w:r>
      <w:r w:rsidRPr="00DC6326">
        <w:rPr>
          <w:i/>
          <w:color w:val="0000FF"/>
        </w:rPr>
        <w:t>istrict, Xeraale town, Galgaduud region Galmudug state of Somalia</w:t>
      </w:r>
    </w:p>
    <w:p w14:paraId="14FBBD57" w14:textId="4D419C71" w:rsidR="007E4EED" w:rsidRDefault="007E4EED"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DC6326"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DC6326"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DC6326"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DC6326"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DC6326"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DC6326"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DC6326"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DC6326"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DC6326"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DC6326"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DC6326"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DC6326"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DC6326"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DC6326"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DC6326"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DC6326">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r>
              <w:rPr>
                <w:b/>
              </w:rPr>
              <w:t>Xarxaar</w:t>
            </w:r>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Genset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DC6326">
      <w:rPr>
        <w:i/>
        <w:noProof/>
      </w:rPr>
      <w:t>2</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C6326">
      <w:rPr>
        <w:rStyle w:val="PageNumber"/>
        <w:noProof/>
      </w:rPr>
      <w:t>14</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DC6326">
      <w:rPr>
        <w:noProof/>
      </w:rPr>
      <w:t>21</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32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6.xml><?xml version="1.0" encoding="utf-8"?>
<ds:datastoreItem xmlns:ds="http://schemas.openxmlformats.org/officeDocument/2006/customXml" ds:itemID="{69C3BD5B-803D-4352-952B-0A795EC5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52</Pages>
  <Words>13245</Words>
  <Characters>75502</Characters>
  <Application>Microsoft Office Word</Application>
  <DocSecurity>0</DocSecurity>
  <Lines>629</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88570</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41</cp:revision>
  <cp:lastPrinted>2008-12-12T08:25:00Z</cp:lastPrinted>
  <dcterms:created xsi:type="dcterms:W3CDTF">2017-10-28T15:48:00Z</dcterms:created>
  <dcterms:modified xsi:type="dcterms:W3CDTF">2018-03-12T12:28:00Z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